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A5" w:rsidRPr="00686C01" w:rsidRDefault="00921AA5" w:rsidP="0068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01">
        <w:rPr>
          <w:rFonts w:ascii="Times New Roman" w:hAnsi="Times New Roman" w:cs="Times New Roman"/>
          <w:b/>
          <w:sz w:val="28"/>
          <w:szCs w:val="28"/>
        </w:rPr>
        <w:t>Доклад на коллегию комитета по строительству Ленинградской области о достигнутых значениях показателей отрасли.</w:t>
      </w:r>
    </w:p>
    <w:p w:rsidR="00921AA5" w:rsidRPr="00686C01" w:rsidRDefault="00921AA5" w:rsidP="0068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52" w:rsidRPr="00686C01" w:rsidRDefault="00921AA5" w:rsidP="0068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01">
        <w:rPr>
          <w:rFonts w:ascii="Times New Roman" w:hAnsi="Times New Roman" w:cs="Times New Roman"/>
          <w:b/>
          <w:sz w:val="28"/>
          <w:szCs w:val="28"/>
        </w:rPr>
        <w:t>ДАТА: 2</w:t>
      </w:r>
      <w:r w:rsidRPr="00686C01">
        <w:rPr>
          <w:rFonts w:ascii="Times New Roman" w:hAnsi="Times New Roman" w:cs="Times New Roman"/>
          <w:b/>
          <w:sz w:val="28"/>
          <w:szCs w:val="28"/>
        </w:rPr>
        <w:t>5</w:t>
      </w:r>
      <w:r w:rsidRPr="00686C01">
        <w:rPr>
          <w:rFonts w:ascii="Times New Roman" w:hAnsi="Times New Roman" w:cs="Times New Roman"/>
          <w:b/>
          <w:sz w:val="28"/>
          <w:szCs w:val="28"/>
        </w:rPr>
        <w:t>.02.20</w:t>
      </w:r>
      <w:r w:rsidRPr="00686C01">
        <w:rPr>
          <w:rFonts w:ascii="Times New Roman" w:hAnsi="Times New Roman" w:cs="Times New Roman"/>
          <w:b/>
          <w:sz w:val="28"/>
          <w:szCs w:val="28"/>
        </w:rPr>
        <w:t>21</w:t>
      </w:r>
    </w:p>
    <w:p w:rsidR="007758E2" w:rsidRPr="00686C01" w:rsidRDefault="007758E2" w:rsidP="0068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A5" w:rsidRPr="00686C01" w:rsidRDefault="00921AA5" w:rsidP="00686C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средств бюджета в 2020 году выделенных Комитету, как главному распорядителю бюджетных средств, составило 11 810 621,1   тыс. рублей  при плане 12 429 155,6 тыс. рублей, что составляет 95%.  </w:t>
      </w:r>
      <w:r w:rsidRPr="00686C01">
        <w:rPr>
          <w:rFonts w:ascii="Times New Roman" w:eastAsia="Arial" w:hAnsi="Times New Roman" w:cs="Times New Roman"/>
          <w:color w:val="000000"/>
          <w:sz w:val="28"/>
          <w:szCs w:val="28"/>
        </w:rPr>
        <w:t>Расходная часть с</w:t>
      </w:r>
      <w:r w:rsidRPr="00686C01">
        <w:rPr>
          <w:rFonts w:ascii="Times New Roman" w:hAnsi="Times New Roman" w:cs="Times New Roman"/>
          <w:color w:val="000000"/>
          <w:sz w:val="28"/>
          <w:szCs w:val="28"/>
        </w:rPr>
        <w:t>редств федерального бюджета за 2020 год исполнена в сумме 3 105 710,8 тыс. рублей при плане 3 147 479,1 тыс. рублей, что составляет 98,7 %.  Расходная часть средств областного бюджета</w:t>
      </w:r>
      <w:proofErr w:type="gramEnd"/>
      <w:r w:rsidRPr="00686C01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 </w:t>
      </w:r>
      <w:proofErr w:type="gramStart"/>
      <w:r w:rsidRPr="00686C01">
        <w:rPr>
          <w:rFonts w:ascii="Times New Roman" w:hAnsi="Times New Roman" w:cs="Times New Roman"/>
          <w:color w:val="000000"/>
          <w:sz w:val="28"/>
          <w:szCs w:val="28"/>
        </w:rPr>
        <w:t>исполнена</w:t>
      </w:r>
      <w:proofErr w:type="gramEnd"/>
      <w:r w:rsidRPr="00686C01">
        <w:rPr>
          <w:rFonts w:ascii="Times New Roman" w:hAnsi="Times New Roman" w:cs="Times New Roman"/>
          <w:color w:val="000000"/>
          <w:sz w:val="28"/>
          <w:szCs w:val="28"/>
        </w:rPr>
        <w:t xml:space="preserve"> в сумме 8 704 910,3  тыс. рублей при плане 9 281 676,5 тыс. рублей, что составляет 93,8 %.</w:t>
      </w:r>
    </w:p>
    <w:p w:rsidR="007758E2" w:rsidRPr="00686C01" w:rsidRDefault="007758E2" w:rsidP="00686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A5" w:rsidRDefault="00921AA5" w:rsidP="00686C0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C01">
        <w:rPr>
          <w:rFonts w:ascii="Times New Roman" w:hAnsi="Times New Roman" w:cs="Times New Roman"/>
          <w:sz w:val="28"/>
          <w:szCs w:val="28"/>
          <w:u w:val="single"/>
        </w:rPr>
        <w:t>Адресная инвестиционная программа</w:t>
      </w:r>
    </w:p>
    <w:p w:rsidR="00686C01" w:rsidRPr="00686C01" w:rsidRDefault="00686C01" w:rsidP="00686C0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1AA5" w:rsidRPr="00686C01" w:rsidRDefault="00921AA5" w:rsidP="00686C0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В целях обеспечения выполнения задач, полномочий, функций, возложенных на отдел строительства социально-культурных объектов</w:t>
      </w:r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адресной инвестиционной программы, с</w:t>
      </w:r>
      <w:r w:rsidRPr="00686C01">
        <w:rPr>
          <w:rFonts w:ascii="Times New Roman" w:hAnsi="Times New Roman" w:cs="Times New Roman"/>
          <w:sz w:val="28"/>
          <w:szCs w:val="28"/>
        </w:rPr>
        <w:t xml:space="preserve">пециалисты отдела готовят предложения по разработке и корректировке государственных программ Ленинградской области, участвуют в их реализации </w:t>
      </w:r>
      <w:r w:rsidRPr="00686C01">
        <w:rPr>
          <w:rFonts w:ascii="Times New Roman" w:hAnsi="Times New Roman" w:cs="Times New Roman"/>
          <w:snapToGrid w:val="0"/>
          <w:sz w:val="28"/>
          <w:szCs w:val="28"/>
        </w:rPr>
        <w:t>в части, касающейся капитального строительства и проектирования  объектов социальной инфраструктуры.</w:t>
      </w:r>
      <w:r w:rsidRPr="00686C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21AA5" w:rsidRPr="00686C01" w:rsidRDefault="00921AA5" w:rsidP="00686C01">
      <w:pPr>
        <w:pStyle w:val="a3"/>
        <w:spacing w:after="0" w:line="276" w:lineRule="auto"/>
        <w:ind w:firstLine="720"/>
        <w:jc w:val="both"/>
        <w:rPr>
          <w:color w:val="000000"/>
          <w:sz w:val="28"/>
          <w:szCs w:val="28"/>
        </w:rPr>
      </w:pPr>
      <w:r w:rsidRPr="00686C01">
        <w:rPr>
          <w:sz w:val="28"/>
          <w:szCs w:val="28"/>
        </w:rPr>
        <w:t xml:space="preserve">При формировании предложений в проект адресной инвестиционной программы на 2021 год была </w:t>
      </w:r>
      <w:r w:rsidRPr="00686C01">
        <w:rPr>
          <w:color w:val="000000"/>
          <w:sz w:val="28"/>
          <w:szCs w:val="28"/>
        </w:rPr>
        <w:t xml:space="preserve">проанализирована и проверена информация по 145 объектам, заявленным отраслевыми комитетами Ленинградской области, на сумму порядка 16 млрд. руб. </w:t>
      </w:r>
    </w:p>
    <w:p w:rsidR="00921AA5" w:rsidRPr="00686C01" w:rsidRDefault="00921AA5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На  проектирование, строительство и реконструкцию объектов социально-культурного назначения в соответствии с Адресной инвестиционной программой в 2020 году  было предусмотрено  на отчетную дату 9,2 млрд. рублей из них: </w:t>
      </w:r>
      <w:r w:rsidRPr="00686C01">
        <w:rPr>
          <w:rFonts w:ascii="Times New Roman" w:hAnsi="Times New Roman" w:cs="Times New Roman"/>
          <w:sz w:val="28"/>
          <w:szCs w:val="28"/>
        </w:rPr>
        <w:t xml:space="preserve">федеральный бюджет – 1,9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, </w:t>
      </w:r>
      <w:r w:rsidRPr="00686C01">
        <w:rPr>
          <w:rFonts w:ascii="Times New Roman" w:hAnsi="Times New Roman" w:cs="Times New Roman"/>
          <w:sz w:val="28"/>
          <w:szCs w:val="28"/>
        </w:rPr>
        <w:t>областной бюджет</w:t>
      </w:r>
      <w:r w:rsidRPr="00686C01">
        <w:rPr>
          <w:rFonts w:ascii="Times New Roman" w:hAnsi="Times New Roman" w:cs="Times New Roman"/>
          <w:sz w:val="28"/>
          <w:szCs w:val="28"/>
        </w:rPr>
        <w:t xml:space="preserve"> -  6,5</w:t>
      </w:r>
      <w:r w:rsidRPr="00686C01">
        <w:rPr>
          <w:rFonts w:ascii="Times New Roman" w:hAnsi="Times New Roman" w:cs="Times New Roman"/>
          <w:sz w:val="28"/>
          <w:szCs w:val="28"/>
        </w:rPr>
        <w:t xml:space="preserve"> млрд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,  </w:t>
      </w:r>
      <w:r w:rsidRPr="00686C01">
        <w:rPr>
          <w:rFonts w:ascii="Times New Roman" w:hAnsi="Times New Roman" w:cs="Times New Roman"/>
          <w:sz w:val="28"/>
          <w:szCs w:val="28"/>
        </w:rPr>
        <w:t xml:space="preserve">местный бюджет – 763 млн </w:t>
      </w:r>
      <w:r w:rsidRPr="00686C01">
        <w:rPr>
          <w:rFonts w:ascii="Times New Roman" w:hAnsi="Times New Roman" w:cs="Times New Roman"/>
          <w:sz w:val="28"/>
          <w:szCs w:val="28"/>
        </w:rPr>
        <w:t>руб.</w:t>
      </w:r>
    </w:p>
    <w:p w:rsidR="00921AA5" w:rsidRPr="00686C01" w:rsidRDefault="003618F1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Профинансировано 114 объектов социальной инфраструктуры в рамках                            11 государственных программ Ленинградской области и непрограммной части АИП.  Введено в эксплуатацию 18 объектов.</w:t>
      </w:r>
    </w:p>
    <w:p w:rsidR="003618F1" w:rsidRPr="00686C01" w:rsidRDefault="003618F1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E2" w:rsidRDefault="00CC35E2" w:rsidP="00686C01">
      <w:pPr>
        <w:spacing w:after="0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</w:pPr>
      <w:r w:rsidRPr="00686C01"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  <w:t>Взаимодействие с застройщиками по выкупу социальных объектов</w:t>
      </w:r>
    </w:p>
    <w:p w:rsidR="00686C01" w:rsidRPr="00686C01" w:rsidRDefault="00686C01" w:rsidP="00686C01">
      <w:pPr>
        <w:spacing w:after="0"/>
        <w:ind w:firstLine="709"/>
        <w:jc w:val="both"/>
        <w:rPr>
          <w:rFonts w:ascii="Times New Roman" w:hAnsi="Times New Roman" w:cs="Times New Roman"/>
          <w:bCs/>
          <w:color w:val="000001"/>
          <w:sz w:val="28"/>
          <w:szCs w:val="28"/>
          <w:u w:val="single"/>
        </w:rPr>
      </w:pPr>
    </w:p>
    <w:p w:rsidR="00CC35E2" w:rsidRPr="00686C01" w:rsidRDefault="00CC35E2" w:rsidP="00686C01">
      <w:pPr>
        <w:pStyle w:val="Heading"/>
        <w:spacing w:line="276" w:lineRule="auto"/>
        <w:ind w:right="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C01">
        <w:rPr>
          <w:rFonts w:ascii="Times New Roman" w:hAnsi="Times New Roman" w:cs="Times New Roman"/>
          <w:b w:val="0"/>
          <w:sz w:val="28"/>
          <w:szCs w:val="28"/>
        </w:rPr>
        <w:t xml:space="preserve">Для поддержки проектов комплексного освоения, развития территорий, </w:t>
      </w:r>
      <w:r w:rsidRPr="00686C0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 также своевременного обеспечения объектами социального назначения в Ленинградской области проводятся мероприятия, направленные </w:t>
      </w:r>
      <w:proofErr w:type="gramStart"/>
      <w:r w:rsidRPr="00686C0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686C01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объектов социального назначения у застройщиков, осуществляющих комплексное освоение земельных участков в целях жилищного строительства под условным названием «</w:t>
      </w:r>
      <w:proofErr w:type="spellStart"/>
      <w:r w:rsidRPr="00686C01">
        <w:rPr>
          <w:rFonts w:ascii="Times New Roman" w:hAnsi="Times New Roman" w:cs="Times New Roman"/>
          <w:b w:val="0"/>
          <w:sz w:val="28"/>
          <w:szCs w:val="28"/>
        </w:rPr>
        <w:t>Соцобъекты</w:t>
      </w:r>
      <w:proofErr w:type="spellEnd"/>
      <w:r w:rsidRPr="00686C01">
        <w:rPr>
          <w:rFonts w:ascii="Times New Roman" w:hAnsi="Times New Roman" w:cs="Times New Roman"/>
          <w:b w:val="0"/>
          <w:sz w:val="28"/>
          <w:szCs w:val="28"/>
        </w:rPr>
        <w:t xml:space="preserve"> в обмен на налоги». </w:t>
      </w:r>
      <w:proofErr w:type="gramStart"/>
      <w:r w:rsidRPr="00686C01">
        <w:rPr>
          <w:rFonts w:ascii="Times New Roman" w:hAnsi="Times New Roman" w:cs="Times New Roman"/>
          <w:b w:val="0"/>
          <w:sz w:val="28"/>
          <w:szCs w:val="28"/>
        </w:rPr>
        <w:t xml:space="preserve">Ведется работа по заключению Соглашений о сотрудничестве между Правительством Ленинградской области, администрациями муниципальных образований и застройщиками, в котором устанавливаются сроки строительства социальных объектов. </w:t>
      </w:r>
      <w:proofErr w:type="gramEnd"/>
    </w:p>
    <w:p w:rsidR="00CC35E2" w:rsidRPr="00686C01" w:rsidRDefault="00CC35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sz w:val="28"/>
          <w:szCs w:val="28"/>
        </w:rPr>
        <w:t>В рамках реализации мероприятий «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Соцобъекты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в обмен на налоги» в 2020 году заключено 3 (из общего количества – 50 с 2013 года) </w:t>
      </w:r>
      <w:r w:rsidRPr="00686C01">
        <w:rPr>
          <w:rFonts w:ascii="Times New Roman" w:hAnsi="Times New Roman" w:cs="Times New Roman"/>
          <w:bCs/>
          <w:sz w:val="28"/>
          <w:szCs w:val="28"/>
        </w:rPr>
        <w:t xml:space="preserve">Соглашения о сотрудничестве </w:t>
      </w:r>
      <w:r w:rsidRPr="00686C01">
        <w:rPr>
          <w:rFonts w:ascii="Times New Roman" w:hAnsi="Times New Roman" w:cs="Times New Roman"/>
          <w:sz w:val="28"/>
          <w:szCs w:val="28"/>
        </w:rPr>
        <w:t>между застройщиками, Правительством Ленинградской области, администрациями муниципальных районов, администрациями городских или сельских поселений</w:t>
      </w:r>
      <w:r w:rsidRPr="00686C01">
        <w:rPr>
          <w:rFonts w:ascii="Times New Roman" w:hAnsi="Times New Roman" w:cs="Times New Roman"/>
          <w:bCs/>
          <w:sz w:val="28"/>
          <w:szCs w:val="28"/>
        </w:rPr>
        <w:t xml:space="preserve"> по вопросам устойчивого развития территорий комплексного освоения в целях жилищного строительства и 2 дополнительных соглашения к ранее заключенным соглашениям о сотрудничестве.</w:t>
      </w:r>
      <w:proofErr w:type="gramEnd"/>
    </w:p>
    <w:p w:rsidR="00921AA5" w:rsidRPr="00686C01" w:rsidRDefault="00CC35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bCs/>
          <w:sz w:val="28"/>
          <w:szCs w:val="28"/>
        </w:rPr>
        <w:t xml:space="preserve">Включены в государственную программу Ленинградской области </w:t>
      </w:r>
      <w:r w:rsidRPr="00686C01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«Современное образование Ленинградской области», </w:t>
      </w:r>
      <w:r w:rsidRPr="00686C01">
        <w:rPr>
          <w:rFonts w:ascii="Times New Roman" w:hAnsi="Times New Roman" w:cs="Times New Roman"/>
          <w:bCs/>
          <w:sz w:val="28"/>
          <w:szCs w:val="28"/>
        </w:rPr>
        <w:t xml:space="preserve">в целях приобретения в 2020 году в муниципальную собственность, </w:t>
      </w:r>
      <w:r w:rsidRPr="00686C01">
        <w:rPr>
          <w:rFonts w:ascii="Times New Roman" w:hAnsi="Times New Roman" w:cs="Times New Roman"/>
          <w:b/>
          <w:bCs/>
          <w:sz w:val="28"/>
          <w:szCs w:val="28"/>
        </w:rPr>
        <w:t xml:space="preserve">5 детских садов на 660 мест и 1 школа на 550 мест </w:t>
      </w:r>
      <w:r w:rsidRPr="00686C01">
        <w:rPr>
          <w:rFonts w:ascii="Times New Roman" w:hAnsi="Times New Roman" w:cs="Times New Roman"/>
          <w:sz w:val="28"/>
          <w:szCs w:val="28"/>
        </w:rPr>
        <w:t>(</w:t>
      </w:r>
      <w:r w:rsidRPr="00686C01">
        <w:rPr>
          <w:rFonts w:ascii="Times New Roman" w:hAnsi="Times New Roman" w:cs="Times New Roman"/>
          <w:color w:val="000000"/>
          <w:sz w:val="28"/>
          <w:szCs w:val="28"/>
        </w:rPr>
        <w:t xml:space="preserve">из которых детский сад </w:t>
      </w:r>
      <w:r w:rsidRPr="00686C01">
        <w:rPr>
          <w:rFonts w:ascii="Times New Roman" w:hAnsi="Times New Roman" w:cs="Times New Roman"/>
          <w:sz w:val="28"/>
          <w:szCs w:val="28"/>
        </w:rPr>
        <w:t>на 210 мест по адресу: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сельское поселение, поселок Бугры, бульвар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Воронцовский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, здание 5, корпус 6 у застройщика ООО «Самолет ЛО»</w:t>
      </w:r>
      <w:r w:rsidRPr="00686C01">
        <w:rPr>
          <w:rFonts w:ascii="Times New Roman" w:hAnsi="Times New Roman" w:cs="Times New Roman"/>
          <w:color w:val="000000"/>
          <w:sz w:val="28"/>
          <w:szCs w:val="28"/>
        </w:rPr>
        <w:t xml:space="preserve"> выкуплен по федеральной программе, направленной на создание ясельных групп)</w:t>
      </w:r>
      <w:r w:rsidRPr="00686C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40D9" w:rsidRPr="00686C01" w:rsidRDefault="007540D9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стимулированию программ развития жилищного строительства субъектов РФ в рамках Федерального проекта «Жилье» государственной программы РФ «Обеспечение доступным и комфортным жильем и коммунальными услугами граждан РФ» осуществляется взаимодействие с Минстроем России по строительству 9 объектов образования с участием средств федерального бюджета. </w:t>
      </w:r>
    </w:p>
    <w:p w:rsidR="007540D9" w:rsidRPr="00686C01" w:rsidRDefault="007540D9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sz w:val="28"/>
          <w:szCs w:val="28"/>
        </w:rPr>
        <w:t xml:space="preserve">Заключены 3 дополнительных соглашения к соглашению с Минстроем России о предоставлении федеральной субсидии в рамках программы «Стимул». </w:t>
      </w:r>
      <w:proofErr w:type="gramEnd"/>
    </w:p>
    <w:p w:rsidR="007540D9" w:rsidRPr="00686C01" w:rsidRDefault="007540D9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Подготовлена и направлена в Минстрой России заявка на финансирование в 2021-2022 годах из федерального бюджета строительства 7</w:t>
      </w:r>
      <w:r w:rsidRPr="00686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6C01">
        <w:rPr>
          <w:rFonts w:ascii="Times New Roman" w:hAnsi="Times New Roman" w:cs="Times New Roman"/>
          <w:sz w:val="28"/>
          <w:szCs w:val="28"/>
        </w:rPr>
        <w:t xml:space="preserve">объектов образования. На все объекты получены средства федерального бюджета на 2021 и 2022 годы. Для участия в программе Минстроем России одобрены 7 объектов (2 детских сада и 5 школ – переходящие объекты с 2020 </w:t>
      </w:r>
      <w:r w:rsidRPr="00686C01">
        <w:rPr>
          <w:rFonts w:ascii="Times New Roman" w:hAnsi="Times New Roman" w:cs="Times New Roman"/>
          <w:sz w:val="28"/>
          <w:szCs w:val="28"/>
        </w:rPr>
        <w:lastRenderedPageBreak/>
        <w:t>года) с целью предоставления 1,269 млрд. рублей в 2021 году и 510 млн. рублей в 2022 году. Средства федерального бюджета предоставляются в объеме 67% от заявленного объема средств, необходимых для строительства объектов в 2021-2022 годах.</w:t>
      </w:r>
    </w:p>
    <w:p w:rsidR="007540D9" w:rsidRPr="00686C01" w:rsidRDefault="007540D9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eastAsia="Times New Roman" w:hAnsi="Times New Roman" w:cs="Times New Roman"/>
          <w:sz w:val="28"/>
          <w:szCs w:val="28"/>
        </w:rPr>
        <w:t xml:space="preserve">25.12.2020 заключено Соглашение с Минстроем России о предоставлении субсидии из федерального бюджета бюджету субъекта Российской Федерации на мероприятия по стимулированию </w:t>
      </w:r>
      <w:proofErr w:type="gramStart"/>
      <w:r w:rsidRPr="00686C01">
        <w:rPr>
          <w:rFonts w:ascii="Times New Roman" w:eastAsia="Times New Roman" w:hAnsi="Times New Roman"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686C01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7 объектов образования в 2021-2022 годах.</w:t>
      </w:r>
    </w:p>
    <w:p w:rsidR="00CC35E2" w:rsidRPr="00686C01" w:rsidRDefault="00CC35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D9" w:rsidRDefault="00B20F3E" w:rsidP="00686C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C01">
        <w:rPr>
          <w:rFonts w:ascii="Times New Roman" w:hAnsi="Times New Roman" w:cs="Times New Roman"/>
          <w:sz w:val="28"/>
          <w:szCs w:val="28"/>
          <w:u w:val="single"/>
        </w:rPr>
        <w:t>Улучшение жилищных условий граждан</w:t>
      </w:r>
    </w:p>
    <w:p w:rsidR="00686C01" w:rsidRPr="00686C01" w:rsidRDefault="00686C01" w:rsidP="00686C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0F3E" w:rsidRDefault="00B20F3E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01">
        <w:rPr>
          <w:rFonts w:ascii="Times New Roman" w:hAnsi="Times New Roman" w:cs="Times New Roman"/>
          <w:b/>
          <w:sz w:val="28"/>
          <w:szCs w:val="28"/>
        </w:rPr>
        <w:t>Основное мероприятие «Улучшение жилищных условий молодых граждан (молодых семей)»</w:t>
      </w:r>
    </w:p>
    <w:p w:rsidR="00686C01" w:rsidRPr="00686C01" w:rsidRDefault="00686C01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Ассигнования на реализацию мероприятия в 2020 году предусмотрены в объёме 250 000 000 рублей.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Общее количество молодых граждан (молодых семей), изъявивших желание получить в 2020 году социальную выплату составило 974 молодых граждан (молодых семей), из них 244 это молодые многодетные семьи.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П</w:t>
      </w:r>
      <w:r w:rsidRPr="00686C01">
        <w:rPr>
          <w:rFonts w:ascii="Times New Roman" w:eastAsia="Calibri" w:hAnsi="Times New Roman" w:cs="Times New Roman"/>
          <w:sz w:val="28"/>
          <w:szCs w:val="28"/>
        </w:rPr>
        <w:t>ретендентами на получение социальных выплат в 2020 году стали 153 молодых граждан (молодых семей). Также 13 молодых семей стали претендентами на получение дополнительных социальных выплат в случае рождения (усыновления) детей.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Средства областного бюджета, предусмотренные на предоставление социальных выплат, перечислены на блокированные счета граждан в размере 249 810,33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По состоянию на 01.01.2021 из 153 получателей социальных выплат средства социальной выплаты реализовали 152 молодых гражданина (молодых семей), и 13</w:t>
      </w:r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получателей дополнительной социальной выплаты реализовали средства дополнительной социальной выплаты. Средства областного бюджета составили  248 788,51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. Общая площадь приобретенных жилых помещений составила  7941,67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етров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1 свидетельство продолжает действовать до марта 2021 года.  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Нераспределенный остаток средств составил 189 674,00 рублей, и является недостаточным для предоставления социальной выплаты участникам Мероприятия.</w:t>
      </w:r>
    </w:p>
    <w:p w:rsidR="00FA070A" w:rsidRDefault="00FA070A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C01" w:rsidRDefault="00B20F3E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</w:p>
    <w:p w:rsidR="00686C01" w:rsidRDefault="00686C01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sz w:val="28"/>
          <w:szCs w:val="28"/>
        </w:rPr>
        <w:t xml:space="preserve">Правительством Ленинградской области 20.12.2019 года заключено Соглашение с Минстроем России о предоставлении и распределении в 2020 году субсидии из федерального бюджета бюджету Ленинградской области на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РФ на предоставление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Мероприятие) на общий объем бюджетных ассигнований в размере </w:t>
      </w:r>
      <w:r w:rsidRPr="00686C01">
        <w:rPr>
          <w:rFonts w:ascii="Times New Roman" w:hAnsi="Times New Roman" w:cs="Times New Roman"/>
          <w:b/>
          <w:sz w:val="28"/>
          <w:szCs w:val="28"/>
        </w:rPr>
        <w:t>109 892,500</w:t>
      </w:r>
      <w:r w:rsidRPr="00686C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Ленинградской области о распределении субсидий на 2020 год и плановый период 2021 и 2022 годов  перечислена субсидия в бюджеты 29-ти муниципальных образований Ленинградской области  на предоставление социальных выплат </w:t>
      </w:r>
      <w:r w:rsidRPr="00686C01">
        <w:rPr>
          <w:rFonts w:ascii="Times New Roman" w:hAnsi="Times New Roman" w:cs="Times New Roman"/>
          <w:b/>
          <w:sz w:val="28"/>
          <w:szCs w:val="28"/>
        </w:rPr>
        <w:t>85-ти</w:t>
      </w:r>
      <w:r w:rsidRPr="00686C01">
        <w:rPr>
          <w:rFonts w:ascii="Times New Roman" w:hAnsi="Times New Roman" w:cs="Times New Roman"/>
          <w:sz w:val="28"/>
          <w:szCs w:val="28"/>
        </w:rPr>
        <w:t xml:space="preserve"> молодым семьям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39 многодетных семей) на приобретение (строительство) жилья в рамках Мероприятия.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средств местного бюджета в рамках Мероприятия составило 12 893, 747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45 коп.</w:t>
      </w:r>
    </w:p>
    <w:p w:rsidR="00B20F3E" w:rsidRPr="00686C01" w:rsidRDefault="00B20F3E" w:rsidP="00686C01">
      <w:pPr>
        <w:spacing w:after="0"/>
        <w:ind w:left="-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По состоянию на 31.12.2020 года все 85 молодых семей реализовали свидетельства на общую сумму бюджетных средств 122 786, 247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45 коп., 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средства федерального бюджета – 9 892, 499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98 коп., областного бюджета – 100 000, 000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02 коп., местного бюджета – 12 893, 747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45 коп. </w:t>
      </w:r>
    </w:p>
    <w:p w:rsidR="00B20F3E" w:rsidRPr="00686C01" w:rsidRDefault="00B20F3E" w:rsidP="00686C01">
      <w:pPr>
        <w:spacing w:after="0"/>
        <w:ind w:left="-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 рамках Мероприятия молодые семьи приобрели жилые помещения общей площадью 4 673,85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на общую сумму средств 194 035, 700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50 коп.,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средства материнского капитала, собственные и заемные средства в общем совокупном размере 71 249,453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05 коп.).</w:t>
      </w:r>
    </w:p>
    <w:p w:rsidR="00B20F3E" w:rsidRPr="00686C01" w:rsidRDefault="00B20F3E" w:rsidP="00686C01">
      <w:pPr>
        <w:spacing w:after="0"/>
        <w:ind w:left="-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C01" w:rsidRDefault="00686C01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01" w:rsidRDefault="00686C01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01" w:rsidRDefault="00686C01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3E" w:rsidRDefault="00B20F3E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01">
        <w:rPr>
          <w:rFonts w:ascii="Times New Roman" w:hAnsi="Times New Roman" w:cs="Times New Roman"/>
          <w:b/>
          <w:sz w:val="28"/>
          <w:szCs w:val="28"/>
        </w:rPr>
        <w:lastRenderedPageBreak/>
        <w:t>Основное мероприятие «Улучшение жилищных условий граждан с использованием средств ипотечного кредита (займа)»</w:t>
      </w:r>
    </w:p>
    <w:p w:rsidR="00686C01" w:rsidRPr="00686C01" w:rsidRDefault="00686C01" w:rsidP="00686C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3E" w:rsidRPr="00686C01" w:rsidRDefault="00B20F3E" w:rsidP="00686C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Ассигнования на реализацию Ипотечной программы в 2020 году были предусмотрена в объёме 148 570,88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В 2020 году в Ленинградской области стали претендентами на получение: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компенсаций части расходов, связанных с уплатой процентов по ипотечным жилищным кредитам (займам) – 190 граждан, размер перечисленных средств областного бюджета составил 7076,53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социальных выплат в размере 150 тыс. рублей – 197 многодетных граждан, размер перечисленных средств областного бюджета составил 29083,99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социальных выплат на приобретение (строительство) жилья– 49 семей, в том числе 11 молодых педагогов, 25 работников бюджетной сферы и 13 граждан, не являющихся работниками бюджетной сферы. 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Положением, средства социальных выплат перечислялись на блокированные счета граждан. Общая сумма средств областного бюджета Ленинградской области в размере 146924,11 тыс. рублей </w:t>
      </w:r>
      <w:r w:rsidRPr="00686C01">
        <w:rPr>
          <w:rFonts w:ascii="Times New Roman" w:eastAsia="Calibri" w:hAnsi="Times New Roman" w:cs="Times New Roman"/>
          <w:sz w:val="28"/>
          <w:szCs w:val="28"/>
        </w:rPr>
        <w:t>перечислена на блокированные счета граждан в 2020 году. Нераспределенный остаток средств областного бюджета составил 1646,77 тыс. рублей, в том числе: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- размер средств, недостаточный для предоставления социальной выплаты гражданину, являющемуся следующим на получение социальной выплаты в соответствии с очередностью, установленной сводным списком граждан, изъявивших желание получить в планируемом 2020 году социальную выплату на строительство (приобретение) жилья в рамках Мероприятия – 468,49 тыс. рублей;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- возврат 28.12.2020 средств социальной выплаты в областной бюджет Ленинградской области в связи с окончанием срока действия выданного свидетельства (гражданин не воспользовался средствами социальной выплаты) – 1 178,28 тыс. рублей. </w:t>
      </w: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В 2020 году: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- средства компенсации перечислены в полном объеме на счета граждан. Размер перечисленных средств областного бюджета составил 7076,53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- средства социальных выплат в размере 150 тысяч рублей реализовали 197 семей. Размер перечисленных средств областного бюджета составил </w:t>
      </w:r>
      <w:r w:rsidRPr="00686C01">
        <w:rPr>
          <w:rFonts w:ascii="Times New Roman" w:hAnsi="Times New Roman" w:cs="Times New Roman"/>
          <w:sz w:val="28"/>
          <w:szCs w:val="28"/>
        </w:rPr>
        <w:t xml:space="preserve">29083,99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редства социальной выплаты на строительство (приобретение) жилья реализовали 8 молодых педагогов. Размер перечисленных средств областного бюджета составил 12 218,24 тыс. рублей. Общая площадь приобретенных жилых помещений составила 513,4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етров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редства социальной выплаты на строительство (приобретение) жилья реализовали 37 семей  из сводного списка 2020 года. Размер перечисленных средств областного бюджета составил 95677,24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. Общая площадь приобретенных жилых помещений составила 2642,95 </w:t>
      </w:r>
      <w:proofErr w:type="spellStart"/>
      <w:r w:rsidRPr="00686C01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686C0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686C01">
        <w:rPr>
          <w:rFonts w:ascii="Times New Roman" w:eastAsia="Calibri" w:hAnsi="Times New Roman" w:cs="Times New Roman"/>
          <w:sz w:val="28"/>
          <w:szCs w:val="28"/>
        </w:rPr>
        <w:t>етров</w:t>
      </w:r>
      <w:proofErr w:type="spellEnd"/>
      <w:r w:rsidRPr="00686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F3E" w:rsidRDefault="00B20F3E" w:rsidP="00686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>С учетом установленного порядка распределения бюджетных ассигнований в рамках Ипотечной программы средств областного бюджета в 2020 году  на предоставление гражданам социальной выплаты на приобретение (строительство) жилья оказалось достаточным для выдачи 49 свидетельств.</w:t>
      </w:r>
    </w:p>
    <w:p w:rsidR="00686C01" w:rsidRPr="00686C01" w:rsidRDefault="00686C01" w:rsidP="00686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F3E" w:rsidRDefault="00B20F3E" w:rsidP="00686C01">
      <w:pPr>
        <w:pStyle w:val="ConsPlusCell"/>
        <w:spacing w:line="276" w:lineRule="auto"/>
        <w:jc w:val="center"/>
        <w:rPr>
          <w:b/>
        </w:rPr>
      </w:pPr>
      <w:r w:rsidRPr="00686C01">
        <w:rPr>
          <w:b/>
        </w:rPr>
        <w:tab/>
        <w:t>Основное мероприятие «Создание инженерной и транспортной инфраструктуры на земельных участках, предоставленных бесплатно гражданам»</w:t>
      </w:r>
    </w:p>
    <w:p w:rsidR="00686C01" w:rsidRPr="00686C01" w:rsidRDefault="00686C01" w:rsidP="00686C01">
      <w:pPr>
        <w:pStyle w:val="ConsPlusCell"/>
        <w:spacing w:line="276" w:lineRule="auto"/>
        <w:jc w:val="center"/>
        <w:rPr>
          <w:b/>
        </w:rPr>
      </w:pPr>
    </w:p>
    <w:p w:rsidR="00B20F3E" w:rsidRPr="00686C01" w:rsidRDefault="00B20F3E" w:rsidP="00686C0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Ассигнования предусмотрены в размере </w:t>
      </w:r>
      <w:r w:rsidRPr="00686C01">
        <w:rPr>
          <w:rFonts w:ascii="Times New Roman" w:hAnsi="Times New Roman" w:cs="Times New Roman"/>
          <w:sz w:val="28"/>
          <w:szCs w:val="28"/>
        </w:rPr>
        <w:t xml:space="preserve">226 866,6 тыс. </w:t>
      </w: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Субсидии предоставлены следующим муниципальным образованиям на строительство в массивах следующих  объектов инженерной и транспортной инфраструктуры: 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1) «Город Гатчина» Гатчинского  муниципального района, массив «Заячий ремиз», квартал №10    на строительство в 2019-2021 годах улично-дорожной сети, сети наружного освещения, сети электроснабжения, сети водоснабжения, сети бытовой и дождевой канализации. В результате использования субсидии 23 </w:t>
      </w:r>
      <w:proofErr w:type="gramStart"/>
      <w:r w:rsidRPr="00686C01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86C01">
        <w:rPr>
          <w:rFonts w:ascii="Times New Roman" w:hAnsi="Times New Roman"/>
          <w:sz w:val="28"/>
          <w:szCs w:val="28"/>
        </w:rPr>
        <w:t xml:space="preserve"> участка, предоставленных многодетным семьям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2) «Сертолово» Всеволожского муниципального района, г. Сертолово, </w:t>
      </w:r>
      <w:proofErr w:type="spellStart"/>
      <w:r w:rsidRPr="00686C01">
        <w:rPr>
          <w:rFonts w:ascii="Times New Roman" w:hAnsi="Times New Roman"/>
          <w:sz w:val="28"/>
          <w:szCs w:val="28"/>
        </w:rPr>
        <w:t>мкр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. Черная Речка на строительство в 2020-2022 годах улично-дорожной сети, сети электроснабжения наружного освещения, сети водоснабжения, сети бытовой канализации, сети электроснабжения наружного освещения. В результате использования субсидии 32 </w:t>
      </w:r>
      <w:proofErr w:type="gramStart"/>
      <w:r w:rsidRPr="00686C01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86C01">
        <w:rPr>
          <w:rFonts w:ascii="Times New Roman" w:hAnsi="Times New Roman"/>
          <w:sz w:val="28"/>
          <w:szCs w:val="28"/>
        </w:rPr>
        <w:t xml:space="preserve"> участка, предоставленных многодетным семьям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>3)   «</w:t>
      </w:r>
      <w:proofErr w:type="spellStart"/>
      <w:r w:rsidRPr="00686C01">
        <w:rPr>
          <w:rFonts w:ascii="Times New Roman" w:hAnsi="Times New Roman"/>
          <w:sz w:val="28"/>
          <w:szCs w:val="28"/>
        </w:rPr>
        <w:t>Каменногорское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городское поселение» Выборгского района, массив 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п. Возрождение  на строительство в 2018-2021 годах улично-дорожной сети, уличного освещения. В результате использования субсидии 18 </w:t>
      </w:r>
      <w:r w:rsidRPr="00686C01">
        <w:rPr>
          <w:rFonts w:ascii="Times New Roman" w:hAnsi="Times New Roman"/>
          <w:sz w:val="28"/>
          <w:szCs w:val="28"/>
        </w:rPr>
        <w:lastRenderedPageBreak/>
        <w:t>земельных участков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11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>4)  «</w:t>
      </w:r>
      <w:proofErr w:type="spellStart"/>
      <w:r w:rsidRPr="00686C01">
        <w:rPr>
          <w:rFonts w:ascii="Times New Roman" w:hAnsi="Times New Roman"/>
          <w:sz w:val="28"/>
          <w:szCs w:val="28"/>
        </w:rPr>
        <w:t>Красноозерное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 муниципального района, массив д. </w:t>
      </w:r>
      <w:proofErr w:type="spellStart"/>
      <w:r w:rsidRPr="00686C01">
        <w:rPr>
          <w:rFonts w:ascii="Times New Roman" w:hAnsi="Times New Roman"/>
          <w:sz w:val="28"/>
          <w:szCs w:val="28"/>
        </w:rPr>
        <w:t>Красноозерное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на строительство в 2020-2023 годах улично-дорожной сети, сети водоснабжения, сети газоснабжения, сети наружного освещения, насосной станции, артезианской скважины. В результате использования субсидии 139 земельных участков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10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>5)  «</w:t>
      </w:r>
      <w:proofErr w:type="spellStart"/>
      <w:r w:rsidRPr="00686C01">
        <w:rPr>
          <w:rFonts w:ascii="Times New Roman" w:hAnsi="Times New Roman"/>
          <w:sz w:val="28"/>
          <w:szCs w:val="28"/>
        </w:rPr>
        <w:t>Мельниковское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 муниципального района, массив </w:t>
      </w:r>
      <w:proofErr w:type="spellStart"/>
      <w:r w:rsidRPr="00686C01">
        <w:rPr>
          <w:rFonts w:ascii="Times New Roman" w:hAnsi="Times New Roman"/>
          <w:sz w:val="28"/>
          <w:szCs w:val="28"/>
        </w:rPr>
        <w:t>ул</w:t>
      </w:r>
      <w:proofErr w:type="gramStart"/>
      <w:r w:rsidRPr="00686C01">
        <w:rPr>
          <w:rFonts w:ascii="Times New Roman" w:hAnsi="Times New Roman"/>
          <w:sz w:val="28"/>
          <w:szCs w:val="28"/>
        </w:rPr>
        <w:t>.Н</w:t>
      </w:r>
      <w:proofErr w:type="gramEnd"/>
      <w:r w:rsidRPr="00686C01">
        <w:rPr>
          <w:rFonts w:ascii="Times New Roman" w:hAnsi="Times New Roman"/>
          <w:sz w:val="28"/>
          <w:szCs w:val="28"/>
        </w:rPr>
        <w:t>овоселов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на строительство в 2020-2023 годах улично-дорожной сети, сети наружного освещения, сети водоснабжения. В результате использования субсидии 105 </w:t>
      </w:r>
      <w:proofErr w:type="gramStart"/>
      <w:r w:rsidRPr="00686C01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86C01">
        <w:rPr>
          <w:rFonts w:ascii="Times New Roman" w:hAnsi="Times New Roman"/>
          <w:sz w:val="28"/>
          <w:szCs w:val="28"/>
        </w:rPr>
        <w:t xml:space="preserve"> участка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3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6) «Запорожское  сельское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  муниципального района, массив п. </w:t>
      </w:r>
      <w:proofErr w:type="spellStart"/>
      <w:r w:rsidRPr="00686C01">
        <w:rPr>
          <w:rFonts w:ascii="Times New Roman" w:hAnsi="Times New Roman"/>
          <w:sz w:val="28"/>
          <w:szCs w:val="28"/>
        </w:rPr>
        <w:t>Денисово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на строительство в 2019-2021 годах улично-дорожной сети, водопроводной сети, водоочистных сооружений, сети наружного освещения, артезианской скважины. В результате использования субсидии 30 земельных участков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17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7) «Сосновское  сельское поселение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 муниципального района», массивы ул. Октябрьская и ул. Октябрьская 2 очередь, </w:t>
      </w:r>
      <w:proofErr w:type="spellStart"/>
      <w:r w:rsidRPr="00686C01">
        <w:rPr>
          <w:rFonts w:ascii="Times New Roman" w:hAnsi="Times New Roman"/>
          <w:sz w:val="28"/>
          <w:szCs w:val="28"/>
        </w:rPr>
        <w:t>п</w:t>
      </w:r>
      <w:proofErr w:type="gramStart"/>
      <w:r w:rsidRPr="00686C01">
        <w:rPr>
          <w:rFonts w:ascii="Times New Roman" w:hAnsi="Times New Roman"/>
          <w:sz w:val="28"/>
          <w:szCs w:val="28"/>
        </w:rPr>
        <w:t>.С</w:t>
      </w:r>
      <w:proofErr w:type="gramEnd"/>
      <w:r w:rsidRPr="00686C01">
        <w:rPr>
          <w:rFonts w:ascii="Times New Roman" w:hAnsi="Times New Roman"/>
          <w:sz w:val="28"/>
          <w:szCs w:val="28"/>
        </w:rPr>
        <w:t>осново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 на строительство в 2019-2022 годах автомобильной дороги, наружного освещения, благоустройства территории. В результате использования субсидии 134 земельных участков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41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8) «Тихвинское городское поселение» Тихвинского муниципального района, массив между д. Заболотье и </w:t>
      </w:r>
      <w:proofErr w:type="spellStart"/>
      <w:r w:rsidRPr="00686C01">
        <w:rPr>
          <w:rFonts w:ascii="Times New Roman" w:hAnsi="Times New Roman"/>
          <w:sz w:val="28"/>
          <w:szCs w:val="28"/>
        </w:rPr>
        <w:t>Фишева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Гора, г. Тихвин на строительство в 2020-2023 годах улично-дорожной сети, система водоснабжения, дождевой канализации, сети газоснабжения, сети наружного освещения. В результате использования субсидии 57 земельных участков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44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lastRenderedPageBreak/>
        <w:t>9) «</w:t>
      </w:r>
      <w:proofErr w:type="spellStart"/>
      <w:r w:rsidRPr="00686C01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муниципального района, г. Кингисепп, </w:t>
      </w:r>
      <w:proofErr w:type="spellStart"/>
      <w:r w:rsidRPr="00686C01">
        <w:rPr>
          <w:rFonts w:ascii="Times New Roman" w:hAnsi="Times New Roman"/>
          <w:sz w:val="28"/>
          <w:szCs w:val="28"/>
        </w:rPr>
        <w:t>мкр</w:t>
      </w:r>
      <w:proofErr w:type="spellEnd"/>
      <w:r w:rsidRPr="00686C01">
        <w:rPr>
          <w:rFonts w:ascii="Times New Roman" w:hAnsi="Times New Roman"/>
          <w:sz w:val="28"/>
          <w:szCs w:val="28"/>
        </w:rPr>
        <w:t>. Новый Луцк на строительство в 2018-2021 годах автомобильной дороги, наружного освещения. В результате использования субсидии 68 земельных участков (</w:t>
      </w:r>
      <w:proofErr w:type="spellStart"/>
      <w:r w:rsidRPr="00686C01">
        <w:rPr>
          <w:rFonts w:ascii="Times New Roman" w:hAnsi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/>
          <w:sz w:val="28"/>
          <w:szCs w:val="28"/>
        </w:rPr>
        <w:t>. 68 земельных участка, предоставленных многодетным семьям) планируется обеспечить объектами инженерной и транспортной инфраструктурой.</w:t>
      </w:r>
    </w:p>
    <w:p w:rsidR="00B20F3E" w:rsidRPr="00686C01" w:rsidRDefault="00B20F3E" w:rsidP="00686C01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C01">
        <w:rPr>
          <w:rFonts w:ascii="Times New Roman" w:hAnsi="Times New Roman"/>
          <w:sz w:val="28"/>
          <w:szCs w:val="28"/>
        </w:rPr>
        <w:t xml:space="preserve">По состоянию на 01.01.2021 года средства областного бюджета в размере 160 073,95626 тыс. рублей перечислены в бюджет следующих муниципальных образований: </w:t>
      </w:r>
      <w:proofErr w:type="gramStart"/>
      <w:r w:rsidRPr="00686C01">
        <w:rPr>
          <w:rFonts w:ascii="Times New Roman" w:hAnsi="Times New Roman"/>
          <w:sz w:val="28"/>
          <w:szCs w:val="28"/>
        </w:rPr>
        <w:t>«</w:t>
      </w:r>
      <w:proofErr w:type="spellStart"/>
      <w:r w:rsidRPr="00686C01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муниципального района, «</w:t>
      </w:r>
      <w:proofErr w:type="spellStart"/>
      <w:r w:rsidRPr="00686C01">
        <w:rPr>
          <w:rFonts w:ascii="Times New Roman" w:hAnsi="Times New Roman"/>
          <w:sz w:val="28"/>
          <w:szCs w:val="28"/>
        </w:rPr>
        <w:t>Каменногорское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городское поселение» Выборгского района, «Запорожское сельское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муниципального района, «Город Гатчина» Гатчинского муниципального района, «Сосновское сельское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муниципального района, «Тихвинское городское поселение» Тихвинского муниципального района, «Сертолово» Всеволожского муниципального района, «</w:t>
      </w:r>
      <w:proofErr w:type="spellStart"/>
      <w:r w:rsidRPr="00686C01">
        <w:rPr>
          <w:rFonts w:ascii="Times New Roman" w:hAnsi="Times New Roman"/>
          <w:sz w:val="28"/>
          <w:szCs w:val="28"/>
        </w:rPr>
        <w:t>Красноозерное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686C01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/>
          <w:sz w:val="28"/>
          <w:szCs w:val="28"/>
        </w:rPr>
        <w:t xml:space="preserve"> муниципального района. </w:t>
      </w:r>
      <w:proofErr w:type="gramEnd"/>
    </w:p>
    <w:p w:rsidR="00B20F3E" w:rsidRPr="00686C01" w:rsidRDefault="00B20F3E" w:rsidP="0068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Также в 2020 году зарегистрировано право собственности в Едином государственном реестре недвижимости на объект объекты инженерной и транспортной инфраструктуры, построенные в 2019 году в следующих муниципальных образованиях: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 xml:space="preserve">«Город Коммунар» Гатчинского муниципального района, г. Коммунар, ул.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Кобраловская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(35 земельных участка,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 15 земельных участков, предоставленный многодетным семьям), «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Городской Округ», массив ГК «Искра»  (68 земельных участков, предоставленных многодетным семьям), «Тихвинское городское поселение» Тихвинского муниципального района,  массив дер.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Стретилово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(13 земельных участков,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 5 земельных участков, предоставленных многодетным семьям).</w:t>
      </w:r>
      <w:proofErr w:type="gramEnd"/>
    </w:p>
    <w:p w:rsidR="00B20F3E" w:rsidRPr="00686C01" w:rsidRDefault="00B20F3E" w:rsidP="0068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Таким образом, по результатам регистрации объектов инженерной и транспортной инфраструктуры в Едином государственном реестре недвижи</w:t>
      </w:r>
      <w:r w:rsidR="006D1213" w:rsidRPr="00686C01">
        <w:rPr>
          <w:rFonts w:ascii="Times New Roman" w:hAnsi="Times New Roman" w:cs="Times New Roman"/>
          <w:sz w:val="28"/>
          <w:szCs w:val="28"/>
        </w:rPr>
        <w:t xml:space="preserve">мости 116 земельных участков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88 земельных участков, предоставленных многодетным семьям) обеспеченны инженерной и транспортной инфраструктурой в 2020 году.</w:t>
      </w:r>
    </w:p>
    <w:p w:rsidR="00FA070A" w:rsidRPr="00686C01" w:rsidRDefault="00FA070A" w:rsidP="0068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F3E" w:rsidRDefault="00FA070A" w:rsidP="00686C01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01">
        <w:rPr>
          <w:rFonts w:ascii="Times New Roman" w:hAnsi="Times New Roman" w:cs="Times New Roman"/>
          <w:b/>
          <w:sz w:val="28"/>
          <w:szCs w:val="28"/>
        </w:rPr>
        <w:t>Г</w:t>
      </w:r>
      <w:r w:rsidR="00B20F3E" w:rsidRPr="00686C01">
        <w:rPr>
          <w:rFonts w:ascii="Times New Roman" w:hAnsi="Times New Roman" w:cs="Times New Roman"/>
          <w:b/>
          <w:iCs/>
          <w:sz w:val="28"/>
          <w:szCs w:val="28"/>
        </w:rPr>
        <w:t>осударственн</w:t>
      </w:r>
      <w:r w:rsidRPr="00686C01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="00B20F3E" w:rsidRPr="00686C01">
        <w:rPr>
          <w:rFonts w:ascii="Times New Roman" w:hAnsi="Times New Roman" w:cs="Times New Roman"/>
          <w:b/>
          <w:iCs/>
          <w:sz w:val="28"/>
          <w:szCs w:val="28"/>
        </w:rPr>
        <w:t xml:space="preserve"> программ</w:t>
      </w:r>
      <w:r w:rsidRPr="00686C01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B20F3E" w:rsidRPr="00686C0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20F3E" w:rsidRPr="00686C01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 Ленинградской области»</w:t>
      </w:r>
    </w:p>
    <w:p w:rsidR="00686C01" w:rsidRPr="00686C01" w:rsidRDefault="00686C01" w:rsidP="00686C01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предоставлению гражданам социальных выплат на строительство (приобретение) жилья на сельских </w:t>
      </w:r>
      <w:r w:rsidRPr="00686C0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территориях Ленинградской области (далее – мероприятия) в 2020 году предусмотрены ассигнования в размере </w:t>
      </w:r>
      <w:r w:rsidRPr="00686C01">
        <w:rPr>
          <w:rFonts w:ascii="Times New Roman" w:hAnsi="Times New Roman" w:cs="Times New Roman"/>
          <w:b/>
          <w:sz w:val="28"/>
          <w:szCs w:val="28"/>
        </w:rPr>
        <w:t>183 440 900,30</w:t>
      </w:r>
      <w:r w:rsidRPr="00686C01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20F3E" w:rsidRPr="00686C01" w:rsidRDefault="00B20F3E" w:rsidP="00686C01">
      <w:pPr>
        <w:spacing w:after="0"/>
        <w:ind w:right="5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средств федерального бюджета - </w:t>
      </w:r>
      <w:r w:rsidRPr="00686C01">
        <w:rPr>
          <w:rFonts w:ascii="Times New Roman" w:hAnsi="Times New Roman" w:cs="Times New Roman"/>
          <w:b/>
          <w:sz w:val="28"/>
          <w:szCs w:val="28"/>
        </w:rPr>
        <w:t xml:space="preserve">5 887 000,00 </w:t>
      </w:r>
      <w:r w:rsidRPr="00686C01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B20F3E" w:rsidRPr="00686C01" w:rsidRDefault="00B20F3E" w:rsidP="00686C01">
      <w:pPr>
        <w:spacing w:after="0"/>
        <w:ind w:right="5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средств областного бюджета - </w:t>
      </w:r>
      <w:r w:rsidRPr="00686C01">
        <w:rPr>
          <w:rFonts w:ascii="Times New Roman" w:hAnsi="Times New Roman" w:cs="Times New Roman"/>
          <w:b/>
          <w:sz w:val="28"/>
          <w:szCs w:val="28"/>
        </w:rPr>
        <w:t xml:space="preserve">177 553 900,30 </w:t>
      </w:r>
      <w:r w:rsidRPr="00686C01">
        <w:rPr>
          <w:rFonts w:ascii="Times New Roman" w:hAnsi="Times New Roman" w:cs="Times New Roman"/>
          <w:sz w:val="28"/>
          <w:szCs w:val="28"/>
        </w:rPr>
        <w:t>руб.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sz w:val="28"/>
          <w:szCs w:val="28"/>
        </w:rPr>
        <w:t>Общий размер субсидии, предоставляемый из федерального бюджета бюджету Ленинградской области составил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686C01">
        <w:rPr>
          <w:rFonts w:ascii="Times New Roman" w:hAnsi="Times New Roman" w:cs="Times New Roman"/>
          <w:b/>
          <w:sz w:val="28"/>
          <w:szCs w:val="28"/>
        </w:rPr>
        <w:t>5887000,00</w:t>
      </w:r>
      <w:r w:rsidRPr="00686C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Всего за 12 месяцев 2020 года распоряжениями комитета АПК бюджетные средства распределены на социальные выплаты 64 гражданам из средств федерального бюджета в размере </w:t>
      </w:r>
      <w:r w:rsidRPr="00686C01">
        <w:rPr>
          <w:rFonts w:ascii="Times New Roman" w:hAnsi="Times New Roman" w:cs="Times New Roman"/>
          <w:b/>
          <w:sz w:val="28"/>
          <w:szCs w:val="28"/>
        </w:rPr>
        <w:t>5887000,00</w:t>
      </w:r>
      <w:r w:rsidRPr="00686C01">
        <w:rPr>
          <w:rFonts w:ascii="Times New Roman" w:hAnsi="Times New Roman" w:cs="Times New Roman"/>
          <w:sz w:val="28"/>
          <w:szCs w:val="28"/>
        </w:rPr>
        <w:t xml:space="preserve"> руб. и областного бюджета – </w:t>
      </w:r>
      <w:r w:rsidRPr="00686C01">
        <w:rPr>
          <w:rFonts w:ascii="Times New Roman" w:hAnsi="Times New Roman" w:cs="Times New Roman"/>
          <w:b/>
          <w:sz w:val="28"/>
          <w:szCs w:val="28"/>
        </w:rPr>
        <w:t xml:space="preserve">177553900,30 </w:t>
      </w:r>
      <w:r w:rsidRPr="00686C01">
        <w:rPr>
          <w:rFonts w:ascii="Times New Roman" w:hAnsi="Times New Roman" w:cs="Times New Roman"/>
          <w:sz w:val="28"/>
          <w:szCs w:val="28"/>
        </w:rPr>
        <w:t xml:space="preserve">руб. Планируется строительство (приобретение) жилья общей площадью 4 403,39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Из остатка средств областного бюджета в размере 275 998,64 руб. в 2020 году частично профинансирована социальная выплата одного гражданина (всего – 1 892 294,46 руб.), оставшаяся часть социальной выплаты в размере 1 616 295,82 руб. будет профинансирована в апреле 2021 года.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 рамках мероприятия государственной программы свидетельства о предоставлении социальной выплаты выданы 63 гражданам. Срок действия свидетельства 1 год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right="5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На банковские счета 63 граждан перечислены средства:</w:t>
      </w:r>
    </w:p>
    <w:p w:rsidR="00B20F3E" w:rsidRPr="00686C01" w:rsidRDefault="00B20F3E" w:rsidP="00686C01">
      <w:pPr>
        <w:spacing w:after="0"/>
        <w:ind w:right="5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федерального бюджета в размере – 5 887 000,00 руб. </w:t>
      </w:r>
    </w:p>
    <w:p w:rsidR="00B20F3E" w:rsidRPr="00686C01" w:rsidRDefault="00B20F3E" w:rsidP="00686C01">
      <w:pPr>
        <w:spacing w:after="0"/>
        <w:ind w:right="5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областного бюджета в размере – 175 128 977,67 руб. </w:t>
      </w:r>
    </w:p>
    <w:p w:rsidR="00B20F3E" w:rsidRPr="00686C01" w:rsidRDefault="00B20F3E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 рамках мероприятия областной программы свидетельство о предоставлении социальной выплаты выдано 1 гражданину. Бюджетные средства из областного бюджета в размере 1 448 163,74 руб. перечислены на его банковский счет. </w:t>
      </w:r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Распоряжением комитета АПК от 03.03.2020 № 23 на предоставление дополнительных социальных выплат в случае рождения (усыновления) детей в рамках областной программы 3 гражданам распределены средства областного бюджета в размере 976 758,89 руб. Вышеуказанные бюджетные средства поступили на банковские счета граждан. Срок действия свидетельства 6 месяцев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Таким образом, за 12 месяцев 2020 года на банковские счета 67 граждан перечислены средства:</w:t>
      </w:r>
    </w:p>
    <w:p w:rsidR="00B20F3E" w:rsidRPr="00686C01" w:rsidRDefault="00B20F3E" w:rsidP="00686C01">
      <w:pPr>
        <w:spacing w:after="0"/>
        <w:ind w:right="5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федерального бюджета в размере – 5 887 000,00 руб. </w:t>
      </w:r>
    </w:p>
    <w:p w:rsidR="00B20F3E" w:rsidRPr="00686C01" w:rsidRDefault="00B20F3E" w:rsidP="00686C01">
      <w:pPr>
        <w:spacing w:after="0"/>
        <w:ind w:right="5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- областного бюджета в размере – 177 553 900,30 руб.</w:t>
      </w:r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sz w:val="28"/>
          <w:szCs w:val="28"/>
        </w:rPr>
        <w:t xml:space="preserve">За 12 месяцев 2020 года из 37 свидетельств, выданных в 2019 году, действующих в 2020 году, была произведена оплата строительства (приобретения) жилья на сельских территориях 23 участникам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9 </w:t>
      </w:r>
      <w:r w:rsidRPr="00686C01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14 молодым) на общую сумму средств федерального бюджета – 7 610 583,20 руб.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2 816 678,90 руб. - гражданам, 4 793 904,30 руб. - молодым), областного бюджета – 48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 221 177,33 руб.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14 319 120,87 руб. - гражданам, 33 902 056,46 руб. - молодым).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 xml:space="preserve">Построены (приобретены) жилые помещения общей площадью 1 661,32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629,16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– гражданами, 1032,16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 - молодыми).</w:t>
      </w:r>
      <w:proofErr w:type="gramEnd"/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Из 37 свидетельств, выданных в 2019 году, действовавших в 2020 году, не реализованы 14 свидетельств (причины: 11 - предоставлены заявления граждан об отказе от участия в мероприятии, 3 – граждан не воспользовались социальными выплатами до окончания срока действия свидетельств) на общую сумму средств областного бюджета – 23 091 992,40 руб. </w:t>
      </w:r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Распоряжения Комитета о возврате в областной бюджет Ленинградской области вышеуказанных бюджетных средств по не реализованным свидетельствам и сэкономленных бюджетных сре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и реализации свидетельств на общую сумму средств федерального бюджета – 76 444,14 руб. и областного бюджета – 24 988 128,97 руб. банком исполнены.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В условиях реализации мер по недопущению распространения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инфекции в 2020 году и осуществлении обеспечения санитарно-эпидемиологического благополучия населения на территории Ленинградской области: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>- период выдачи свидетельств администрациями муниципальных образований участникам мероприятия превысил установленный временной отрезок (в течение 10 календарных дней) и был увеличен согласно действующим нормативным правовым актам (выдача свидетель</w:t>
      </w:r>
      <w:proofErr w:type="gramStart"/>
      <w:r w:rsidRPr="00686C01">
        <w:rPr>
          <w:rFonts w:ascii="Times New Roman" w:hAnsi="Times New Roman" w:cs="Times New Roman"/>
          <w:iCs/>
          <w:sz w:val="28"/>
          <w:szCs w:val="28"/>
        </w:rPr>
        <w:t>ств пр</w:t>
      </w:r>
      <w:proofErr w:type="gramEnd"/>
      <w:r w:rsidRPr="00686C01">
        <w:rPr>
          <w:rFonts w:ascii="Times New Roman" w:hAnsi="Times New Roman" w:cs="Times New Roman"/>
          <w:iCs/>
          <w:sz w:val="28"/>
          <w:szCs w:val="28"/>
        </w:rPr>
        <w:t>оизводилась с апреля по июнь включительно) в связи с действием ограничений, связанных с неблагоприятной эпидемиологической ситуацией;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- участники смогли начать позднее и, в дальнейшем, производить реализацию свидетельств </w:t>
      </w:r>
      <w:proofErr w:type="gramStart"/>
      <w:r w:rsidRPr="00686C01">
        <w:rPr>
          <w:rFonts w:ascii="Times New Roman" w:hAnsi="Times New Roman" w:cs="Times New Roman"/>
          <w:iCs/>
          <w:sz w:val="28"/>
          <w:szCs w:val="28"/>
        </w:rPr>
        <w:t>более медленнее</w:t>
      </w:r>
      <w:proofErr w:type="gram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в условиях увеличения сроков совершения необходимых действий</w:t>
      </w:r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r w:rsidRPr="00686C01">
        <w:rPr>
          <w:rFonts w:ascii="Times New Roman" w:hAnsi="Times New Roman" w:cs="Times New Roman"/>
          <w:iCs/>
          <w:sz w:val="28"/>
          <w:szCs w:val="28"/>
        </w:rPr>
        <w:t>в связи с продлением на территории Ленинградской области ограничительных мер.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Только часть участников, получивших свидетельства, смогла их реализовать в 2020 году и улучшить свои жилищные условия. 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>За 12 месяцев 2020 года из 64 свидетельств, выданных в 2020 году: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- 15 участников реализовали свидетельства на строительство (приобретение) жилья на сельских территориях на общую сумму средств федерального бюджета – 2 448 960,25 руб., областного бюджета – 32 407 50,10 руб., местного бюджета – 57 563,10 руб. Построены (приобретены) жилые помещения общей площадью 952 68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- 14 участникам (из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Волосовского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МР – 5, из Выборгского МР – 4, из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Приозерского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МР - 5) произведена частичная оплата строительства индивидуальных жилых домов (далее – ИЖД) по выполненным в 2020 году этапам на общую сумму средств областного бюджета в размере 26 059 361,20 руб. По</w:t>
      </w:r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r w:rsidRPr="00686C01">
        <w:rPr>
          <w:rFonts w:ascii="Times New Roman" w:hAnsi="Times New Roman" w:cs="Times New Roman"/>
          <w:iCs/>
          <w:sz w:val="28"/>
          <w:szCs w:val="28"/>
        </w:rPr>
        <w:t>выполненным в 2020 году этапам</w:t>
      </w:r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r w:rsidRPr="00686C01">
        <w:rPr>
          <w:rFonts w:ascii="Times New Roman" w:hAnsi="Times New Roman" w:cs="Times New Roman"/>
          <w:iCs/>
          <w:sz w:val="28"/>
          <w:szCs w:val="28"/>
        </w:rPr>
        <w:t>в строящихся ИЖД построено 668,23 кв. м.</w:t>
      </w:r>
      <w:proofErr w:type="gramEnd"/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>В данном отчете общая площадь жилых помещений 668,23 кв. м. в строящихся ИЖД 14 участников определена пропорционально от процента оплаченных подрядчикам средств социальных выплат (26 059 361,20 руб.) и собственных сре</w:t>
      </w:r>
      <w:proofErr w:type="gramStart"/>
      <w:r w:rsidRPr="00686C01">
        <w:rPr>
          <w:rFonts w:ascii="Times New Roman" w:hAnsi="Times New Roman" w:cs="Times New Roman"/>
          <w:iCs/>
          <w:sz w:val="28"/>
          <w:szCs w:val="28"/>
        </w:rPr>
        <w:t>дств гр</w:t>
      </w:r>
      <w:proofErr w:type="gramEnd"/>
      <w:r w:rsidRPr="00686C01">
        <w:rPr>
          <w:rFonts w:ascii="Times New Roman" w:hAnsi="Times New Roman" w:cs="Times New Roman"/>
          <w:iCs/>
          <w:sz w:val="28"/>
          <w:szCs w:val="28"/>
        </w:rPr>
        <w:t>аждан (5 390 022,91 руб.) к проектной стоимости (65 434 959,36 руб.) и площади ИЖД (1390,36 кв. м.).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>По факту реализации 14 участниками в 2021 году оставшихся на их блокированных счетах средств социальных выплат для оплаты подрядчикам завершения строительства ИЖД, количество участников будет отражено в соответствующем отчетном периоде 2021 года (в отчет за 2020 год не включено).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Таким образом, в 2020 году реализовали свидетельства на строительство (приобретение) жилья на сельских территориях 15 участников 2020 года. Произведена оплата строительства (приобретения) жилья на общую сумму средств федерального бюджета в размере 2 448 960,25 руб., областного бюджета в размере 58 466 870,31 руб., местного бюджета в размере 57 563,10 руб. Построены (приобретены) жилые помещения общей площадью 1 620,91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>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Остальные 49 граждан, имеющие действующие в 2020 году свидетельства, занимаются подбором подходящих жилых помещений или проводят мероприятия в целях строительства индивидуальных жилых домов (в соответствии с указанным в свидетельстве способом улучшения жилищных условий). 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Таким образом, в 2020 году произведена оплата строительства (приобретения) жилья 38 гражданам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14 молодым) из средств федерального бюджета – 10 059 543,45 руб.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4 793 904,30 руб. - молодым), из областного бюджета – 106 688 047,64 руб.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>. 33 902 056,46 руб. - молодым),</w:t>
      </w:r>
      <w:r w:rsidRPr="00686C01">
        <w:rPr>
          <w:rFonts w:ascii="Times New Roman" w:hAnsi="Times New Roman" w:cs="Times New Roman"/>
          <w:sz w:val="28"/>
          <w:szCs w:val="28"/>
        </w:rPr>
        <w:t xml:space="preserve"> из </w:t>
      </w:r>
      <w:r w:rsidRPr="00686C01">
        <w:rPr>
          <w:rFonts w:ascii="Times New Roman" w:hAnsi="Times New Roman" w:cs="Times New Roman"/>
          <w:iCs/>
          <w:sz w:val="28"/>
          <w:szCs w:val="28"/>
        </w:rPr>
        <w:t>местного бюджета в размере 57 563,10 руб. Построены (приобретены) жилые помещения</w:t>
      </w:r>
      <w:proofErr w:type="gram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общей площадью 3 282,23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1032,16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- молодыми). 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За 12 месяцев 2020 года произведена оплата 3 гражданам, реализовавшим свидетельства о предоставлении социальной выплаты в прошлые годы в счет погашения основного долга и процентов за использование ипотечного кредита </w:t>
      </w:r>
      <w:r w:rsidRPr="00686C01">
        <w:rPr>
          <w:rFonts w:ascii="Times New Roman" w:hAnsi="Times New Roman" w:cs="Times New Roman"/>
          <w:iCs/>
          <w:sz w:val="28"/>
          <w:szCs w:val="28"/>
        </w:rPr>
        <w:lastRenderedPageBreak/>
        <w:t>- получателям дополнительной социальной выплаты в случае рождения (усыновления) детей из средств областного бюджета в размере 976 58,89 руб.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Всего за 12 месяцев 2020 года произведена оплата строительства (приобретения) жилья, погашения долга по ипотечным кредитам </w:t>
      </w:r>
      <w:r w:rsidRPr="00686C01">
        <w:rPr>
          <w:rFonts w:ascii="Times New Roman" w:hAnsi="Times New Roman" w:cs="Times New Roman"/>
          <w:b/>
          <w:iCs/>
          <w:sz w:val="28"/>
          <w:szCs w:val="28"/>
        </w:rPr>
        <w:t xml:space="preserve">41 </w:t>
      </w:r>
      <w:r w:rsidRPr="00686C01">
        <w:rPr>
          <w:rFonts w:ascii="Times New Roman" w:hAnsi="Times New Roman" w:cs="Times New Roman"/>
          <w:iCs/>
          <w:sz w:val="28"/>
          <w:szCs w:val="28"/>
        </w:rPr>
        <w:t xml:space="preserve">гражданину из средств федерального бюджета – </w:t>
      </w:r>
      <w:r w:rsidRPr="00686C01">
        <w:rPr>
          <w:rFonts w:ascii="Times New Roman" w:hAnsi="Times New Roman" w:cs="Times New Roman"/>
          <w:b/>
          <w:iCs/>
          <w:sz w:val="28"/>
          <w:szCs w:val="28"/>
        </w:rPr>
        <w:t>10 059 543,45</w:t>
      </w:r>
      <w:r w:rsidRPr="00686C01">
        <w:rPr>
          <w:rFonts w:ascii="Times New Roman" w:hAnsi="Times New Roman" w:cs="Times New Roman"/>
          <w:iCs/>
          <w:sz w:val="28"/>
          <w:szCs w:val="28"/>
        </w:rPr>
        <w:t xml:space="preserve"> руб.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4 793 904,30 руб. - молодым), из областного бюджета – </w:t>
      </w:r>
      <w:r w:rsidRPr="00686C01">
        <w:rPr>
          <w:rFonts w:ascii="Times New Roman" w:hAnsi="Times New Roman" w:cs="Times New Roman"/>
          <w:b/>
          <w:iCs/>
          <w:sz w:val="28"/>
          <w:szCs w:val="28"/>
        </w:rPr>
        <w:t>107 664 806,53</w:t>
      </w:r>
      <w:r w:rsidRPr="00686C01">
        <w:rPr>
          <w:rFonts w:ascii="Times New Roman" w:hAnsi="Times New Roman" w:cs="Times New Roman"/>
          <w:iCs/>
          <w:sz w:val="28"/>
          <w:szCs w:val="28"/>
        </w:rPr>
        <w:t xml:space="preserve"> руб.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>. 33 902 056,46 руб. - молодым),</w:t>
      </w:r>
      <w:r w:rsidRPr="00686C01">
        <w:rPr>
          <w:rFonts w:ascii="Times New Roman" w:hAnsi="Times New Roman" w:cs="Times New Roman"/>
          <w:sz w:val="28"/>
          <w:szCs w:val="28"/>
        </w:rPr>
        <w:t xml:space="preserve"> </w:t>
      </w:r>
      <w:r w:rsidRPr="00686C01">
        <w:rPr>
          <w:rFonts w:ascii="Times New Roman" w:hAnsi="Times New Roman" w:cs="Times New Roman"/>
          <w:iCs/>
          <w:sz w:val="28"/>
          <w:szCs w:val="28"/>
        </w:rPr>
        <w:t>из местного бюджета в размере 57 563,10 руб. Построены (приобретены) жилые</w:t>
      </w:r>
      <w:proofErr w:type="gram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 помещения общей площадью </w:t>
      </w:r>
      <w:r w:rsidRPr="00686C01">
        <w:rPr>
          <w:rFonts w:ascii="Times New Roman" w:hAnsi="Times New Roman" w:cs="Times New Roman"/>
          <w:b/>
          <w:iCs/>
          <w:sz w:val="28"/>
          <w:szCs w:val="28"/>
        </w:rPr>
        <w:t>3 282,23</w:t>
      </w:r>
      <w:r w:rsidRPr="00686C0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(в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 xml:space="preserve">. 1032,16 </w:t>
      </w:r>
      <w:proofErr w:type="spellStart"/>
      <w:r w:rsidRPr="00686C01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iCs/>
          <w:sz w:val="28"/>
          <w:szCs w:val="28"/>
        </w:rPr>
        <w:t>. - молодыми).</w:t>
      </w:r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Целевым показателем мероприятия программы является ввод и приобретение жилья. </w:t>
      </w:r>
    </w:p>
    <w:p w:rsidR="00B20F3E" w:rsidRPr="00686C01" w:rsidRDefault="00B20F3E" w:rsidP="00686C01">
      <w:pPr>
        <w:spacing w:after="0"/>
        <w:ind w:left="-14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6C01">
        <w:rPr>
          <w:rFonts w:ascii="Times New Roman" w:hAnsi="Times New Roman" w:cs="Times New Roman"/>
          <w:iCs/>
          <w:sz w:val="28"/>
          <w:szCs w:val="28"/>
        </w:rPr>
        <w:t xml:space="preserve">В 2020 году достижение показателя по вводу жилья осуществляется с учетом реализации свидетельств, выданных в 2019 и 2020 годах, действующих в 2020 году, а также с учетом оплаты в 2020 году части этапов строительства ИЖД. </w:t>
      </w:r>
    </w:p>
    <w:p w:rsidR="00B20F3E" w:rsidRPr="00686C01" w:rsidRDefault="00B20F3E" w:rsidP="00686C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План по вводу и приобретению жилья на 2020 год, установленный программой, составляет 3250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план по Соглашению 375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.).</w:t>
      </w:r>
    </w:p>
    <w:p w:rsidR="00B20F3E" w:rsidRPr="00686C01" w:rsidRDefault="00B20F3E" w:rsidP="00686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За 2020 год построено (приобретено) жилья </w:t>
      </w:r>
      <w:r w:rsidRPr="00686C01">
        <w:rPr>
          <w:rFonts w:ascii="Times New Roman" w:eastAsia="Calibri" w:hAnsi="Times New Roman" w:cs="Times New Roman"/>
          <w:b/>
          <w:sz w:val="28"/>
          <w:szCs w:val="28"/>
        </w:rPr>
        <w:t xml:space="preserve">3 282,23 </w:t>
      </w:r>
      <w:r w:rsidRPr="00686C01">
        <w:rPr>
          <w:rFonts w:ascii="Times New Roman" w:eastAsia="Calibri" w:hAnsi="Times New Roman" w:cs="Times New Roman"/>
          <w:sz w:val="28"/>
          <w:szCs w:val="28"/>
        </w:rPr>
        <w:t xml:space="preserve">кв. м., что составляет </w:t>
      </w:r>
      <w:r w:rsidRPr="00686C01">
        <w:rPr>
          <w:rFonts w:ascii="Times New Roman" w:eastAsia="Calibri" w:hAnsi="Times New Roman" w:cs="Times New Roman"/>
          <w:b/>
          <w:sz w:val="28"/>
          <w:szCs w:val="28"/>
        </w:rPr>
        <w:t xml:space="preserve">100,99% </w:t>
      </w:r>
      <w:r w:rsidRPr="00686C01">
        <w:rPr>
          <w:rFonts w:ascii="Times New Roman" w:eastAsia="Calibri" w:hAnsi="Times New Roman" w:cs="Times New Roman"/>
          <w:sz w:val="28"/>
          <w:szCs w:val="28"/>
        </w:rPr>
        <w:t>показателя результативности</w:t>
      </w:r>
    </w:p>
    <w:p w:rsidR="00B20F3E" w:rsidRPr="00686C01" w:rsidRDefault="00B20F3E" w:rsidP="00686C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1213" w:rsidRDefault="006D1213" w:rsidP="00686C0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C01">
        <w:rPr>
          <w:rFonts w:ascii="Times New Roman" w:hAnsi="Times New Roman" w:cs="Times New Roman"/>
          <w:sz w:val="28"/>
          <w:szCs w:val="28"/>
          <w:u w:val="single"/>
        </w:rPr>
        <w:t>Поддержка пострадавшим в результате пожара</w:t>
      </w:r>
    </w:p>
    <w:p w:rsidR="00686C01" w:rsidRPr="00686C01" w:rsidRDefault="00686C01" w:rsidP="00686C0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1213" w:rsidRPr="00686C01" w:rsidRDefault="006D1213" w:rsidP="00686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В 2020 году были предусмотрены средства областного бюджета Ленинградской области в объеме 23,1 млн. рублей, рассмотрены заявительные дела граждан, сформирован и рассмотрен на заседании комиссии комитета по строительству Ленинградской области по проведению конкурсного отбора поселений итоговый список граждан.</w:t>
      </w:r>
    </w:p>
    <w:p w:rsidR="006D1213" w:rsidRPr="00686C01" w:rsidRDefault="006D1213" w:rsidP="00686C0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Проведен конкурсный отбор, по результатам которого, </w:t>
      </w:r>
      <w:r w:rsidRPr="00686C01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в объеме 23,1 млн. рублей распределены 11 администрациям муниципальных образований для обеспечения жильем 26 граждан, пострадавших в результате пожара.</w:t>
      </w:r>
    </w:p>
    <w:p w:rsidR="00686C01" w:rsidRDefault="006D1213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состоянию на 01.01.2021 года приобретено 11 квартир общей площадью 501,1 кв. м, в результате реализовано 20,9 млн. рублей средств областного бюджета. Обеспечено жилыми помещениями 24 гражданина.</w:t>
      </w:r>
    </w:p>
    <w:p w:rsidR="00686C01" w:rsidRPr="00686C01" w:rsidRDefault="00686C01" w:rsidP="00686C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213" w:rsidRDefault="006D1213" w:rsidP="00686C0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C01">
        <w:rPr>
          <w:rFonts w:ascii="Times New Roman" w:hAnsi="Times New Roman" w:cs="Times New Roman"/>
          <w:sz w:val="28"/>
          <w:szCs w:val="28"/>
          <w:u w:val="single"/>
        </w:rPr>
        <w:t>Объем ввода жилья на территории Ленинградской области</w:t>
      </w:r>
    </w:p>
    <w:p w:rsidR="006D1213" w:rsidRPr="00686C01" w:rsidRDefault="006D1213" w:rsidP="00686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2018 года реализуется национальный проект «Жилье и городская среда», в рамках которого разработан федеральный проект «Жилье».</w:t>
      </w:r>
    </w:p>
    <w:p w:rsidR="006D1213" w:rsidRPr="00686C01" w:rsidRDefault="006D1213" w:rsidP="00686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проектом «Жилье» для Ленинградской области утвержден показатель «Объем жилищного строительства», значение которого на 2020 год составляло – 3284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</w:t>
      </w:r>
    </w:p>
    <w:p w:rsidR="006D1213" w:rsidRPr="00686C01" w:rsidRDefault="006D1213" w:rsidP="00686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с Министерством строительства и жилищно-коммунального хозяйства Российской Федерации, данный показатель был откорректирован (новое значение 2200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вм.метров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); 14 декабря 2020 года заключено дополнительное соглашение к соглашению о реализации регионального проекта «Жилье» на территории Ленинградской области, в соответствии с чем внесены изменения в паспорта федерального и регионального проектов «Жилье».</w:t>
      </w:r>
    </w:p>
    <w:p w:rsidR="006D1213" w:rsidRPr="00686C01" w:rsidRDefault="006D1213" w:rsidP="00686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Показатель установленный на 2020 год в размере 2200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выполнен. По состоянию на 01.01.2021 на территории Ленинградской области введено в эксплуатацию 2375,92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. общей площади жилья, в том числе ИЖС 1374,63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>., что составляет 108 % к плану на 2020 год, утвержденному федеральным и региональным проектами «Жилье».</w:t>
      </w:r>
    </w:p>
    <w:p w:rsidR="00B20F3E" w:rsidRPr="00686C01" w:rsidRDefault="00B20F3E" w:rsidP="00686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8E2" w:rsidRDefault="007758E2" w:rsidP="00686C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C01">
        <w:rPr>
          <w:rFonts w:ascii="Times New Roman" w:hAnsi="Times New Roman" w:cs="Times New Roman"/>
          <w:sz w:val="28"/>
          <w:szCs w:val="28"/>
          <w:u w:val="single"/>
        </w:rPr>
        <w:t xml:space="preserve">Развитие и мониторинг строительного комплекса </w:t>
      </w:r>
    </w:p>
    <w:p w:rsidR="00686C01" w:rsidRPr="00686C01" w:rsidRDefault="00686C01" w:rsidP="00686C0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758E2" w:rsidRPr="00686C01" w:rsidRDefault="007758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Комитет по строительству Ленинградской области курирует 52 организации строительного комплекса Ленинградской области. Основными видами деятельности курируемых организаций являются добыча полезных ископаемых и производство строительных материалов, кроме металлической продукции.</w:t>
      </w:r>
    </w:p>
    <w:p w:rsidR="007758E2" w:rsidRPr="00686C01" w:rsidRDefault="007758E2" w:rsidP="00686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>Большинство предприятий сохранили объемы производства/добычи продукц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реализации  на уровне 2019 года, предполагают сохранение в течение 2020 года всех показателей на уровне не ниже  2019 года.</w:t>
      </w:r>
    </w:p>
    <w:p w:rsidR="007758E2" w:rsidRPr="00686C01" w:rsidRDefault="007758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Основные показатели по итогам  12 месяцев 2020 года: </w:t>
      </w:r>
    </w:p>
    <w:p w:rsidR="007758E2" w:rsidRPr="00686C01" w:rsidRDefault="007758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средняя начисленная заработная плата в строительстве (ноябрь 2020 г.) – 49 714 руб. </w:t>
      </w:r>
    </w:p>
    <w:p w:rsidR="007758E2" w:rsidRPr="00686C01" w:rsidRDefault="007758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объем отгруженных товаров собственного производства – 76 714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руб. В целом динамика положительная. </w:t>
      </w:r>
    </w:p>
    <w:p w:rsidR="007758E2" w:rsidRPr="00686C01" w:rsidRDefault="007758E2" w:rsidP="0068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- оборот организаций по курируемым видам деятельности: </w:t>
      </w:r>
    </w:p>
    <w:p w:rsidR="007758E2" w:rsidRPr="00686C01" w:rsidRDefault="007758E2" w:rsidP="00686C0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добыча полезных ископаемых – 17,5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руб. Снижение на 32% обусловлено снижением спроса, незаключенными контрактами и ограничениями, связанными с распространением </w:t>
      </w:r>
      <w:proofErr w:type="spellStart"/>
      <w:r w:rsidRPr="00686C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6C01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758E2" w:rsidRPr="00686C01" w:rsidRDefault="007758E2" w:rsidP="00686C0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C01">
        <w:rPr>
          <w:rFonts w:ascii="Times New Roman" w:hAnsi="Times New Roman" w:cs="Times New Roman"/>
          <w:sz w:val="28"/>
          <w:szCs w:val="28"/>
        </w:rPr>
        <w:t xml:space="preserve">производство прочих неметаллических минеральных продуктов – 64,9 </w:t>
      </w:r>
      <w:proofErr w:type="gramStart"/>
      <w:r w:rsidRPr="00686C0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86C01">
        <w:rPr>
          <w:rFonts w:ascii="Times New Roman" w:hAnsi="Times New Roman" w:cs="Times New Roman"/>
          <w:sz w:val="28"/>
          <w:szCs w:val="28"/>
        </w:rPr>
        <w:t xml:space="preserve"> руб. Умеренный рост.</w:t>
      </w:r>
    </w:p>
    <w:p w:rsidR="007758E2" w:rsidRPr="00686C01" w:rsidRDefault="007758E2" w:rsidP="00686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8E2" w:rsidRPr="0068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3D97"/>
    <w:multiLevelType w:val="hybridMultilevel"/>
    <w:tmpl w:val="AFA28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2"/>
    <w:rsid w:val="003618F1"/>
    <w:rsid w:val="00686C01"/>
    <w:rsid w:val="006D1213"/>
    <w:rsid w:val="007540D9"/>
    <w:rsid w:val="007758E2"/>
    <w:rsid w:val="00846A42"/>
    <w:rsid w:val="00921AA5"/>
    <w:rsid w:val="00B20F3E"/>
    <w:rsid w:val="00C07236"/>
    <w:rsid w:val="00CB677E"/>
    <w:rsid w:val="00CC35E2"/>
    <w:rsid w:val="00DF7A63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"/>
    <w:basedOn w:val="a"/>
    <w:rsid w:val="00921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921AA5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1AA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C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B2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20F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20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0F3E"/>
  </w:style>
  <w:style w:type="paragraph" w:styleId="a6">
    <w:name w:val="List Paragraph"/>
    <w:basedOn w:val="a"/>
    <w:uiPriority w:val="34"/>
    <w:qFormat/>
    <w:rsid w:val="0077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"/>
    <w:basedOn w:val="a"/>
    <w:rsid w:val="00921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921AA5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21AA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C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B2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20F3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20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0F3E"/>
  </w:style>
  <w:style w:type="paragraph" w:styleId="a6">
    <w:name w:val="List Paragraph"/>
    <w:basedOn w:val="a"/>
    <w:uiPriority w:val="34"/>
    <w:qFormat/>
    <w:rsid w:val="0077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Калинкина</dc:creator>
  <cp:keywords/>
  <dc:description/>
  <cp:lastModifiedBy>Алина Юрьевна Калинкина</cp:lastModifiedBy>
  <cp:revision>8</cp:revision>
  <dcterms:created xsi:type="dcterms:W3CDTF">2021-03-22T07:10:00Z</dcterms:created>
  <dcterms:modified xsi:type="dcterms:W3CDTF">2021-03-22T08:01:00Z</dcterms:modified>
</cp:coreProperties>
</file>